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49" w:rsidRDefault="00CB1049" w:rsidP="00CB1049">
      <w:pPr>
        <w:jc w:val="center"/>
        <w:rPr>
          <w:rFonts w:ascii="Bookman" w:hAnsi="Bookman"/>
          <w:i/>
          <w:iCs/>
          <w:color w:val="333399"/>
          <w:sz w:val="28"/>
        </w:rPr>
      </w:pPr>
      <w:r>
        <w:rPr>
          <w:noProof/>
          <w:sz w:val="20"/>
        </w:rPr>
        <w:drawing>
          <wp:anchor distT="0" distB="0" distL="114300" distR="114300" simplePos="0" relativeHeight="251661312" behindDoc="1" locked="0" layoutInCell="1" allowOverlap="1">
            <wp:simplePos x="0" y="0"/>
            <wp:positionH relativeFrom="column">
              <wp:posOffset>-139700</wp:posOffset>
            </wp:positionH>
            <wp:positionV relativeFrom="paragraph">
              <wp:posOffset>0</wp:posOffset>
            </wp:positionV>
            <wp:extent cx="847725" cy="1028700"/>
            <wp:effectExtent l="0" t="0" r="9525"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w:hAnsi="Bookman"/>
          <w:i/>
          <w:iCs/>
          <w:color w:val="333399"/>
          <w:sz w:val="28"/>
        </w:rPr>
        <w:t xml:space="preserve">The </w:t>
      </w:r>
      <w:smartTag w:uri="urn:schemas-microsoft-com:office:smarttags" w:element="place">
        <w:smartTag w:uri="urn:schemas-microsoft-com:office:smarttags" w:element="PlaceType">
          <w:r>
            <w:rPr>
              <w:rFonts w:ascii="Bookman" w:hAnsi="Bookman"/>
              <w:i/>
              <w:iCs/>
              <w:color w:val="333399"/>
              <w:sz w:val="28"/>
            </w:rPr>
            <w:t>Commonwealth</w:t>
          </w:r>
        </w:smartTag>
        <w:r>
          <w:rPr>
            <w:rFonts w:ascii="Bookman" w:hAnsi="Bookman"/>
            <w:i/>
            <w:iCs/>
            <w:color w:val="333399"/>
            <w:sz w:val="28"/>
          </w:rPr>
          <w:t xml:space="preserve"> of </w:t>
        </w:r>
        <w:smartTag w:uri="urn:schemas-microsoft-com:office:smarttags" w:element="PlaceName">
          <w:r>
            <w:rPr>
              <w:rFonts w:ascii="Bookman" w:hAnsi="Bookman"/>
              <w:i/>
              <w:iCs/>
              <w:color w:val="333399"/>
              <w:sz w:val="28"/>
            </w:rPr>
            <w:t>Massachusetts</w:t>
          </w:r>
        </w:smartTag>
      </w:smartTag>
    </w:p>
    <w:p w:rsidR="00CB1049" w:rsidRDefault="00CB1049" w:rsidP="00CB1049">
      <w:pPr>
        <w:jc w:val="center"/>
        <w:rPr>
          <w:rFonts w:ascii="Bookman" w:hAnsi="Bookman"/>
          <w:i/>
          <w:iCs/>
          <w:color w:val="333399"/>
          <w:sz w:val="28"/>
        </w:rPr>
      </w:pPr>
      <w:r>
        <w:rPr>
          <w:rFonts w:ascii="Bookman" w:hAnsi="Bookman"/>
          <w:i/>
          <w:iCs/>
          <w:color w:val="333399"/>
          <w:sz w:val="28"/>
        </w:rPr>
        <w:t>Executive Office of Health and Human Services</w:t>
      </w:r>
    </w:p>
    <w:p w:rsidR="00CB1049" w:rsidRDefault="00CB1049" w:rsidP="00CB1049">
      <w:pPr>
        <w:jc w:val="center"/>
        <w:rPr>
          <w:rFonts w:ascii="Bookman" w:hAnsi="Bookman"/>
          <w:i/>
          <w:iCs/>
          <w:color w:val="333399"/>
          <w:sz w:val="28"/>
        </w:rPr>
      </w:pPr>
      <w:smartTag w:uri="urn:schemas-microsoft-com:office:smarttags" w:element="Street">
        <w:smartTag w:uri="urn:schemas-microsoft-com:office:smarttags" w:element="address">
          <w:r>
            <w:rPr>
              <w:rFonts w:ascii="Bookman" w:hAnsi="Bookman"/>
              <w:i/>
              <w:iCs/>
              <w:color w:val="333399"/>
              <w:sz w:val="28"/>
            </w:rPr>
            <w:t xml:space="preserve">One </w:t>
          </w:r>
          <w:proofErr w:type="spellStart"/>
          <w:r>
            <w:rPr>
              <w:rFonts w:ascii="Bookman" w:hAnsi="Bookman"/>
              <w:i/>
              <w:iCs/>
              <w:color w:val="333399"/>
              <w:sz w:val="28"/>
            </w:rPr>
            <w:t>Ashburton</w:t>
          </w:r>
          <w:proofErr w:type="spellEnd"/>
          <w:r>
            <w:rPr>
              <w:rFonts w:ascii="Bookman" w:hAnsi="Bookman"/>
              <w:i/>
              <w:iCs/>
              <w:color w:val="333399"/>
              <w:sz w:val="28"/>
            </w:rPr>
            <w:t xml:space="preserve"> Place</w:t>
          </w:r>
        </w:smartTag>
      </w:smartTag>
      <w:r>
        <w:rPr>
          <w:rFonts w:ascii="Bookman" w:hAnsi="Bookman"/>
          <w:i/>
          <w:iCs/>
          <w:color w:val="333399"/>
          <w:sz w:val="28"/>
        </w:rPr>
        <w:t>, Room 1109</w:t>
      </w:r>
    </w:p>
    <w:p w:rsidR="00CB1049" w:rsidRDefault="00CB1049" w:rsidP="00CB1049">
      <w:pPr>
        <w:pStyle w:val="Heading2"/>
      </w:pPr>
      <w:smartTag w:uri="urn:schemas-microsoft-com:office:smarttags" w:element="City">
        <w:r>
          <w:t>Boston</w:t>
        </w:r>
      </w:smartTag>
      <w:r>
        <w:t xml:space="preserve">, </w:t>
      </w:r>
      <w:smartTag w:uri="urn:schemas-microsoft-com:office:smarttags" w:element="State">
        <w:r>
          <w:t>MA</w:t>
        </w:r>
      </w:smartTag>
      <w:r>
        <w:t xml:space="preserve">  02108</w:t>
      </w:r>
    </w:p>
    <w:p w:rsidR="00CB1049" w:rsidRDefault="00CB1049" w:rsidP="00CB1049">
      <w:pPr>
        <w:pStyle w:val="Heading1"/>
        <w:tabs>
          <w:tab w:val="left" w:pos="900"/>
        </w:tabs>
        <w:jc w:val="left"/>
        <w:rPr>
          <w:color w:val="333399"/>
        </w:rPr>
      </w:pPr>
    </w:p>
    <w:p w:rsidR="00CB1049" w:rsidRDefault="00CB1049" w:rsidP="00CB1049">
      <w:pPr>
        <w:tabs>
          <w:tab w:val="left" w:pos="1110"/>
          <w:tab w:val="left" w:pos="1440"/>
          <w:tab w:val="center" w:pos="4925"/>
        </w:tabs>
        <w:rPr>
          <w:rFonts w:ascii="Bookman" w:hAnsi="Bookman"/>
          <w:color w:val="333399"/>
          <w:sz w:val="16"/>
        </w:rPr>
      </w:pPr>
    </w:p>
    <w:p w:rsidR="00CB1049" w:rsidRDefault="00CB1049" w:rsidP="00CB1049">
      <w:pPr>
        <w:tabs>
          <w:tab w:val="left" w:pos="1110"/>
          <w:tab w:val="left" w:pos="1440"/>
          <w:tab w:val="center" w:pos="4925"/>
        </w:tabs>
        <w:rPr>
          <w:rFonts w:ascii="Bookman" w:hAnsi="Bookman"/>
          <w:color w:val="333399"/>
          <w:sz w:val="16"/>
        </w:rPr>
      </w:pPr>
      <w:r>
        <w:rPr>
          <w:noProof/>
        </w:rPr>
        <mc:AlternateContent>
          <mc:Choice Requires="wps">
            <w:drawing>
              <wp:anchor distT="0" distB="0" distL="114300" distR="114300" simplePos="0" relativeHeight="251659264" behindDoc="1" locked="0" layoutInCell="1" allowOverlap="1">
                <wp:simplePos x="0" y="0"/>
                <wp:positionH relativeFrom="column">
                  <wp:posOffset>-279400</wp:posOffset>
                </wp:positionH>
                <wp:positionV relativeFrom="paragraph">
                  <wp:posOffset>51435</wp:posOffset>
                </wp:positionV>
                <wp:extent cx="1397000" cy="1162050"/>
                <wp:effectExtent l="317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049" w:rsidRDefault="00CB1049" w:rsidP="00CB1049">
                            <w:pPr>
                              <w:jc w:val="center"/>
                              <w:rPr>
                                <w:rFonts w:ascii="Bookman" w:hAnsi="Bookman"/>
                                <w:color w:val="333399"/>
                                <w:sz w:val="16"/>
                              </w:rPr>
                            </w:pPr>
                            <w:r>
                              <w:rPr>
                                <w:rFonts w:ascii="Bookman" w:hAnsi="Bookman"/>
                                <w:color w:val="333399"/>
                                <w:sz w:val="16"/>
                              </w:rPr>
                              <w:t>CHARLES D. BAKER</w:t>
                            </w:r>
                          </w:p>
                          <w:p w:rsidR="00CB1049" w:rsidRDefault="00CB1049" w:rsidP="00CB1049">
                            <w:pPr>
                              <w:jc w:val="center"/>
                              <w:rPr>
                                <w:rFonts w:ascii="Bookman" w:hAnsi="Bookman"/>
                                <w:color w:val="333399"/>
                                <w:sz w:val="16"/>
                              </w:rPr>
                            </w:pPr>
                            <w:r>
                              <w:rPr>
                                <w:rFonts w:ascii="Bookman" w:hAnsi="Bookman"/>
                                <w:color w:val="333399"/>
                                <w:sz w:val="16"/>
                              </w:rPr>
                              <w:t>Governor</w:t>
                            </w:r>
                          </w:p>
                          <w:p w:rsidR="00CB1049" w:rsidRPr="00393EBD" w:rsidRDefault="00CB1049" w:rsidP="00CB1049">
                            <w:pPr>
                              <w:jc w:val="center"/>
                              <w:rPr>
                                <w:rFonts w:ascii="Bookman" w:hAnsi="Bookman"/>
                                <w:color w:val="333399"/>
                                <w:sz w:val="16"/>
                                <w:szCs w:val="16"/>
                              </w:rPr>
                            </w:pPr>
                          </w:p>
                          <w:p w:rsidR="00CB1049" w:rsidRPr="003D6B0C" w:rsidRDefault="00CB1049" w:rsidP="00CB1049">
                            <w:pPr>
                              <w:jc w:val="center"/>
                              <w:rPr>
                                <w:rFonts w:ascii="Bookman" w:hAnsi="Bookman"/>
                                <w:color w:val="333399"/>
                                <w:sz w:val="16"/>
                              </w:rPr>
                            </w:pPr>
                            <w:r>
                              <w:rPr>
                                <w:rFonts w:ascii="Bookman" w:hAnsi="Bookman"/>
                                <w:color w:val="333399"/>
                                <w:sz w:val="16"/>
                              </w:rPr>
                              <w:t>KARYN E. POLITO</w:t>
                            </w:r>
                          </w:p>
                          <w:p w:rsidR="00CB1049" w:rsidRDefault="00CB1049" w:rsidP="00CB1049">
                            <w:pPr>
                              <w:jc w:val="center"/>
                              <w:rPr>
                                <w:rFonts w:ascii="Bookman" w:hAnsi="Bookman"/>
                                <w:color w:val="333399"/>
                                <w:sz w:val="16"/>
                              </w:rPr>
                            </w:pPr>
                            <w:r>
                              <w:rPr>
                                <w:rFonts w:ascii="Bookman" w:hAnsi="Bookman"/>
                                <w:color w:val="333399"/>
                                <w:sz w:val="16"/>
                              </w:rPr>
                              <w:t>Lieutenant Governor</w:t>
                            </w:r>
                          </w:p>
                          <w:p w:rsidR="00CB1049" w:rsidRDefault="00CB1049" w:rsidP="00CB1049">
                            <w:pPr>
                              <w:jc w:val="center"/>
                              <w:rPr>
                                <w:rFonts w:ascii="Bookman" w:hAnsi="Bookman"/>
                                <w:color w:val="333399"/>
                                <w:sz w:val="16"/>
                              </w:rPr>
                            </w:pPr>
                          </w:p>
                          <w:p w:rsidR="00CB1049" w:rsidRPr="00435678" w:rsidRDefault="00CB1049" w:rsidP="00CB1049">
                            <w:pPr>
                              <w:jc w:val="center"/>
                              <w:rPr>
                                <w:rFonts w:ascii="Bookman" w:hAnsi="Bookman"/>
                                <w:color w:val="333399"/>
                                <w:sz w:val="16"/>
                              </w:rPr>
                            </w:pPr>
                            <w:r w:rsidRPr="00435678">
                              <w:rPr>
                                <w:rFonts w:ascii="Bookman" w:hAnsi="Bookman"/>
                                <w:color w:val="333399"/>
                                <w:sz w:val="16"/>
                              </w:rPr>
                              <w:t>MARYLOU SUDDERS</w:t>
                            </w:r>
                          </w:p>
                          <w:p w:rsidR="00CB1049" w:rsidRDefault="00CB1049" w:rsidP="00CB1049">
                            <w:pPr>
                              <w:jc w:val="center"/>
                              <w:rPr>
                                <w:rFonts w:ascii="Bookman" w:hAnsi="Bookman"/>
                                <w:color w:val="333399"/>
                                <w:sz w:val="16"/>
                              </w:rPr>
                            </w:pPr>
                            <w:r w:rsidRPr="00435678">
                              <w:rPr>
                                <w:rFonts w:ascii="Bookman" w:hAnsi="Bookman"/>
                                <w:color w:val="333399"/>
                                <w:sz w:val="16"/>
                              </w:rPr>
                              <w:t>Secretary</w:t>
                            </w: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4.05pt;width:110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0uA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" filled="f" stroked="f">
                <v:textbox>
                  <w:txbxContent>
                    <w:p w:rsidR="00CB1049" w:rsidRDefault="00CB1049" w:rsidP="00CB1049">
                      <w:pPr>
                        <w:jc w:val="center"/>
                        <w:rPr>
                          <w:rFonts w:ascii="Bookman" w:hAnsi="Bookman"/>
                          <w:color w:val="333399"/>
                          <w:sz w:val="16"/>
                        </w:rPr>
                      </w:pPr>
                      <w:r>
                        <w:rPr>
                          <w:rFonts w:ascii="Bookman" w:hAnsi="Bookman"/>
                          <w:color w:val="333399"/>
                          <w:sz w:val="16"/>
                        </w:rPr>
                        <w:t>CHARLES D. BAKER</w:t>
                      </w:r>
                    </w:p>
                    <w:p w:rsidR="00CB1049" w:rsidRDefault="00CB1049" w:rsidP="00CB1049">
                      <w:pPr>
                        <w:jc w:val="center"/>
                        <w:rPr>
                          <w:rFonts w:ascii="Bookman" w:hAnsi="Bookman"/>
                          <w:color w:val="333399"/>
                          <w:sz w:val="16"/>
                        </w:rPr>
                      </w:pPr>
                      <w:r>
                        <w:rPr>
                          <w:rFonts w:ascii="Bookman" w:hAnsi="Bookman"/>
                          <w:color w:val="333399"/>
                          <w:sz w:val="16"/>
                        </w:rPr>
                        <w:t>Governor</w:t>
                      </w:r>
                    </w:p>
                    <w:p w:rsidR="00CB1049" w:rsidRPr="00393EBD" w:rsidRDefault="00CB1049" w:rsidP="00CB1049">
                      <w:pPr>
                        <w:jc w:val="center"/>
                        <w:rPr>
                          <w:rFonts w:ascii="Bookman" w:hAnsi="Bookman"/>
                          <w:color w:val="333399"/>
                          <w:sz w:val="16"/>
                          <w:szCs w:val="16"/>
                        </w:rPr>
                      </w:pPr>
                    </w:p>
                    <w:p w:rsidR="00CB1049" w:rsidRPr="003D6B0C" w:rsidRDefault="00CB1049" w:rsidP="00CB1049">
                      <w:pPr>
                        <w:jc w:val="center"/>
                        <w:rPr>
                          <w:rFonts w:ascii="Bookman" w:hAnsi="Bookman"/>
                          <w:color w:val="333399"/>
                          <w:sz w:val="16"/>
                        </w:rPr>
                      </w:pPr>
                      <w:r>
                        <w:rPr>
                          <w:rFonts w:ascii="Bookman" w:hAnsi="Bookman"/>
                          <w:color w:val="333399"/>
                          <w:sz w:val="16"/>
                        </w:rPr>
                        <w:t>KARYN E. POLITO</w:t>
                      </w:r>
                    </w:p>
                    <w:p w:rsidR="00CB1049" w:rsidRDefault="00CB1049" w:rsidP="00CB1049">
                      <w:pPr>
                        <w:jc w:val="center"/>
                        <w:rPr>
                          <w:rFonts w:ascii="Bookman" w:hAnsi="Bookman"/>
                          <w:color w:val="333399"/>
                          <w:sz w:val="16"/>
                        </w:rPr>
                      </w:pPr>
                      <w:r>
                        <w:rPr>
                          <w:rFonts w:ascii="Bookman" w:hAnsi="Bookman"/>
                          <w:color w:val="333399"/>
                          <w:sz w:val="16"/>
                        </w:rPr>
                        <w:t>Lieutenant Governor</w:t>
                      </w:r>
                    </w:p>
                    <w:p w:rsidR="00CB1049" w:rsidRDefault="00CB1049" w:rsidP="00CB1049">
                      <w:pPr>
                        <w:jc w:val="center"/>
                        <w:rPr>
                          <w:rFonts w:ascii="Bookman" w:hAnsi="Bookman"/>
                          <w:color w:val="333399"/>
                          <w:sz w:val="16"/>
                        </w:rPr>
                      </w:pPr>
                    </w:p>
                    <w:p w:rsidR="00CB1049" w:rsidRPr="00435678" w:rsidRDefault="00CB1049" w:rsidP="00CB1049">
                      <w:pPr>
                        <w:jc w:val="center"/>
                        <w:rPr>
                          <w:rFonts w:ascii="Bookman" w:hAnsi="Bookman"/>
                          <w:color w:val="333399"/>
                          <w:sz w:val="16"/>
                        </w:rPr>
                      </w:pPr>
                      <w:r w:rsidRPr="00435678">
                        <w:rPr>
                          <w:rFonts w:ascii="Bookman" w:hAnsi="Bookman"/>
                          <w:color w:val="333399"/>
                          <w:sz w:val="16"/>
                        </w:rPr>
                        <w:t>MARYLOU SUDDERS</w:t>
                      </w:r>
                    </w:p>
                    <w:p w:rsidR="00CB1049" w:rsidRDefault="00CB1049" w:rsidP="00CB1049">
                      <w:pPr>
                        <w:jc w:val="center"/>
                        <w:rPr>
                          <w:rFonts w:ascii="Bookman" w:hAnsi="Bookman"/>
                          <w:color w:val="333399"/>
                          <w:sz w:val="16"/>
                        </w:rPr>
                      </w:pPr>
                      <w:r w:rsidRPr="00435678">
                        <w:rPr>
                          <w:rFonts w:ascii="Bookman" w:hAnsi="Bookman"/>
                          <w:color w:val="333399"/>
                          <w:sz w:val="16"/>
                        </w:rPr>
                        <w:t>Secretary</w:t>
                      </w: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txbxContent>
                </v:textbox>
              </v:shape>
            </w:pict>
          </mc:Fallback>
        </mc:AlternateContent>
      </w:r>
      <w:r>
        <w:rPr>
          <w:noProof/>
          <w:sz w:val="20"/>
        </w:rPr>
        <mc:AlternateContent>
          <mc:Choice Requires="wps">
            <w:drawing>
              <wp:anchor distT="0" distB="0" distL="114300" distR="114300" simplePos="0" relativeHeight="251660288" behindDoc="1" locked="0" layoutInCell="1" allowOverlap="1">
                <wp:simplePos x="0" y="0"/>
                <wp:positionH relativeFrom="column">
                  <wp:posOffset>5127625</wp:posOffset>
                </wp:positionH>
                <wp:positionV relativeFrom="paragraph">
                  <wp:posOffset>51435</wp:posOffset>
                </wp:positionV>
                <wp:extent cx="1466850" cy="6858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049" w:rsidRDefault="00CB1049" w:rsidP="00CB1049">
                            <w:pPr>
                              <w:jc w:val="center"/>
                              <w:rPr>
                                <w:rFonts w:ascii="Bookman" w:hAnsi="Bookman"/>
                                <w:color w:val="333399"/>
                                <w:sz w:val="8"/>
                              </w:rPr>
                            </w:pPr>
                          </w:p>
                          <w:p w:rsidR="00CB1049" w:rsidRDefault="00CB1049" w:rsidP="00CB1049">
                            <w:pPr>
                              <w:jc w:val="center"/>
                              <w:rPr>
                                <w:rFonts w:ascii="Bookman" w:hAnsi="Bookman"/>
                                <w:color w:val="333399"/>
                                <w:sz w:val="16"/>
                              </w:rPr>
                            </w:pPr>
                            <w:r>
                              <w:rPr>
                                <w:rFonts w:ascii="Bookman" w:hAnsi="Bookman"/>
                                <w:color w:val="333399"/>
                                <w:sz w:val="16"/>
                              </w:rPr>
                              <w:t>Tel: (617) 573-1600</w:t>
                            </w:r>
                          </w:p>
                          <w:p w:rsidR="00CB1049" w:rsidRPr="00336F81" w:rsidRDefault="00CB1049" w:rsidP="00CB1049">
                            <w:pPr>
                              <w:jc w:val="center"/>
                              <w:rPr>
                                <w:rFonts w:ascii="Bookman" w:hAnsi="Bookman"/>
                                <w:color w:val="333399"/>
                                <w:sz w:val="16"/>
                              </w:rPr>
                            </w:pPr>
                            <w:r>
                              <w:rPr>
                                <w:rFonts w:ascii="Bookman" w:hAnsi="Bookman"/>
                                <w:color w:val="333399"/>
                                <w:sz w:val="16"/>
                              </w:rPr>
                              <w:t>Fax: (627) 573-1891</w:t>
                            </w:r>
                            <w:r>
                              <w:rPr>
                                <w:rFonts w:ascii="Bookman" w:hAnsi="Bookman"/>
                                <w:color w:val="333399"/>
                                <w:sz w:val="16"/>
                              </w:rPr>
                              <w:br/>
                              <w:t xml:space="preserve">www.mass.gov/eohhs </w:t>
                            </w:r>
                          </w:p>
                          <w:p w:rsidR="00CB1049" w:rsidRDefault="00CB1049" w:rsidP="00CB10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03.75pt;margin-top:4.05pt;width:115.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Mtw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" filled="f" stroked="f">
                <v:textbox>
                  <w:txbxContent>
                    <w:p w:rsidR="00CB1049" w:rsidRDefault="00CB1049" w:rsidP="00CB1049">
                      <w:pPr>
                        <w:jc w:val="center"/>
                        <w:rPr>
                          <w:rFonts w:ascii="Bookman" w:hAnsi="Bookman"/>
                          <w:color w:val="333399"/>
                          <w:sz w:val="8"/>
                        </w:rPr>
                      </w:pPr>
                    </w:p>
                    <w:p w:rsidR="00CB1049" w:rsidRDefault="00CB1049" w:rsidP="00CB1049">
                      <w:pPr>
                        <w:jc w:val="center"/>
                        <w:rPr>
                          <w:rFonts w:ascii="Bookman" w:hAnsi="Bookman"/>
                          <w:color w:val="333399"/>
                          <w:sz w:val="16"/>
                        </w:rPr>
                      </w:pPr>
                      <w:r>
                        <w:rPr>
                          <w:rFonts w:ascii="Bookman" w:hAnsi="Bookman"/>
                          <w:color w:val="333399"/>
                          <w:sz w:val="16"/>
                        </w:rPr>
                        <w:t>Tel: (617) 573-1600</w:t>
                      </w:r>
                    </w:p>
                    <w:p w:rsidR="00CB1049" w:rsidRPr="00336F81" w:rsidRDefault="00CB1049" w:rsidP="00CB1049">
                      <w:pPr>
                        <w:jc w:val="center"/>
                        <w:rPr>
                          <w:rFonts w:ascii="Bookman" w:hAnsi="Bookman"/>
                          <w:color w:val="333399"/>
                          <w:sz w:val="16"/>
                        </w:rPr>
                      </w:pPr>
                      <w:r>
                        <w:rPr>
                          <w:rFonts w:ascii="Bookman" w:hAnsi="Bookman"/>
                          <w:color w:val="333399"/>
                          <w:sz w:val="16"/>
                        </w:rPr>
                        <w:t>Fax: (627) 573-1891</w:t>
                      </w:r>
                      <w:r>
                        <w:rPr>
                          <w:rFonts w:ascii="Bookman" w:hAnsi="Bookman"/>
                          <w:color w:val="333399"/>
                          <w:sz w:val="16"/>
                        </w:rPr>
                        <w:br/>
                        <w:t xml:space="preserve">www.mass.gov/eohhs </w:t>
                      </w:r>
                    </w:p>
                    <w:p w:rsidR="00CB1049" w:rsidRDefault="00CB1049" w:rsidP="00CB1049"/>
                  </w:txbxContent>
                </v:textbox>
              </v:shape>
            </w:pict>
          </mc:Fallback>
        </mc:AlternateContent>
      </w: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Default="00CB1049" w:rsidP="00CB1049">
      <w:pPr>
        <w:jc w:val="center"/>
        <w:rPr>
          <w:rFonts w:ascii="Bookman" w:hAnsi="Bookman"/>
          <w:color w:val="333399"/>
          <w:sz w:val="16"/>
        </w:rPr>
      </w:pPr>
    </w:p>
    <w:p w:rsidR="00CB1049" w:rsidRPr="00A333EF" w:rsidRDefault="00CB1049" w:rsidP="00CB1049">
      <w:pPr>
        <w:rPr>
          <w:rFonts w:ascii="Times New Roman" w:hAnsi="Times New Roman" w:cs="Times New Roman"/>
          <w:sz w:val="24"/>
          <w:szCs w:val="24"/>
        </w:rPr>
      </w:pPr>
      <w:r w:rsidRPr="00D433AB">
        <w:rPr>
          <w:rFonts w:ascii="Times New Roman" w:hAnsi="Times New Roman" w:cs="Times New Roman"/>
          <w:b/>
          <w:sz w:val="24"/>
          <w:szCs w:val="24"/>
        </w:rPr>
        <w:t>PROVIDER:</w:t>
      </w:r>
      <w:r w:rsidR="009427B7">
        <w:rPr>
          <w:rFonts w:ascii="Times New Roman" w:hAnsi="Times New Roman" w:cs="Times New Roman"/>
          <w:b/>
          <w:szCs w:val="22"/>
        </w:rPr>
        <w:tab/>
      </w:r>
      <w:r w:rsidR="009427B7">
        <w:rPr>
          <w:rFonts w:ascii="Times New Roman" w:hAnsi="Times New Roman" w:cs="Times New Roman"/>
          <w:b/>
          <w:szCs w:val="22"/>
        </w:rPr>
        <w:tab/>
      </w:r>
      <w:r w:rsidR="009427B7">
        <w:rPr>
          <w:rFonts w:ascii="Times New Roman" w:hAnsi="Times New Roman" w:cs="Times New Roman"/>
          <w:b/>
          <w:szCs w:val="22"/>
        </w:rPr>
        <w:tab/>
      </w:r>
      <w:r w:rsidR="00C12810">
        <w:rPr>
          <w:rFonts w:ascii="Times New Roman" w:hAnsi="Times New Roman" w:cs="Times New Roman"/>
          <w:b/>
          <w:szCs w:val="22"/>
        </w:rPr>
        <w:t>SAMPLE NFP, Inc.</w:t>
      </w:r>
      <w:bookmarkStart w:id="0" w:name="_GoBack"/>
      <w:bookmarkEnd w:id="0"/>
    </w:p>
    <w:tbl>
      <w:tblPr>
        <w:tblW w:w="11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994"/>
        <w:gridCol w:w="877"/>
        <w:gridCol w:w="1263"/>
        <w:gridCol w:w="182"/>
        <w:gridCol w:w="1125"/>
        <w:gridCol w:w="1664"/>
        <w:gridCol w:w="1923"/>
        <w:gridCol w:w="1996"/>
      </w:tblGrid>
      <w:tr w:rsidR="00CB1049" w:rsidRPr="00094311" w:rsidTr="00881CB9">
        <w:trPr>
          <w:cantSplit/>
          <w:trHeight w:val="288"/>
          <w:jc w:val="center"/>
        </w:trPr>
        <w:tc>
          <w:tcPr>
            <w:tcW w:w="1994" w:type="dxa"/>
            <w:tcBorders>
              <w:top w:val="single" w:sz="12" w:space="0" w:color="auto"/>
              <w:bottom w:val="single" w:sz="4" w:space="0" w:color="auto"/>
            </w:tcBorders>
            <w:vAlign w:val="center"/>
          </w:tcPr>
          <w:p w:rsidR="00CB1049" w:rsidRPr="00A333EF" w:rsidRDefault="00CB1049" w:rsidP="00881CB9">
            <w:pPr>
              <w:spacing w:line="264" w:lineRule="auto"/>
              <w:jc w:val="center"/>
              <w:rPr>
                <w:rFonts w:ascii="Times New Roman" w:hAnsi="Times New Roman" w:cs="Times New Roman"/>
                <w:b/>
                <w:caps/>
                <w:spacing w:val="4"/>
                <w:sz w:val="20"/>
              </w:rPr>
            </w:pPr>
            <w:r w:rsidRPr="00A333EF">
              <w:rPr>
                <w:rFonts w:ascii="Times New Roman" w:hAnsi="Times New Roman" w:cs="Times New Roman"/>
                <w:b/>
                <w:caps/>
                <w:spacing w:val="4"/>
                <w:sz w:val="20"/>
              </w:rPr>
              <w:t>activity_name</w:t>
            </w:r>
          </w:p>
        </w:tc>
        <w:tc>
          <w:tcPr>
            <w:tcW w:w="877" w:type="dxa"/>
            <w:tcBorders>
              <w:top w:val="single" w:sz="12" w:space="0" w:color="auto"/>
              <w:bottom w:val="single" w:sz="4" w:space="0" w:color="auto"/>
            </w:tcBorders>
            <w:vAlign w:val="center"/>
          </w:tcPr>
          <w:p w:rsidR="00CB1049" w:rsidRPr="00A333EF" w:rsidRDefault="00CB1049" w:rsidP="00881CB9">
            <w:pPr>
              <w:spacing w:line="264" w:lineRule="auto"/>
              <w:jc w:val="center"/>
              <w:rPr>
                <w:rFonts w:ascii="Times New Roman" w:hAnsi="Times New Roman" w:cs="Times New Roman"/>
                <w:b/>
                <w:caps/>
                <w:spacing w:val="4"/>
                <w:sz w:val="20"/>
              </w:rPr>
            </w:pPr>
            <w:r w:rsidRPr="00A333EF">
              <w:rPr>
                <w:rFonts w:ascii="Times New Roman" w:hAnsi="Times New Roman" w:cs="Times New Roman"/>
                <w:b/>
                <w:caps/>
                <w:spacing w:val="4"/>
                <w:sz w:val="20"/>
              </w:rPr>
              <w:t>Dept</w:t>
            </w:r>
          </w:p>
        </w:tc>
        <w:tc>
          <w:tcPr>
            <w:tcW w:w="1263" w:type="dxa"/>
            <w:tcBorders>
              <w:top w:val="single" w:sz="12" w:space="0" w:color="auto"/>
              <w:bottom w:val="single" w:sz="4" w:space="0" w:color="auto"/>
            </w:tcBorders>
          </w:tcPr>
          <w:p w:rsidR="00CB1049" w:rsidRPr="00A333EF" w:rsidRDefault="00CB1049" w:rsidP="00881CB9">
            <w:pPr>
              <w:spacing w:line="264" w:lineRule="auto"/>
              <w:jc w:val="center"/>
              <w:rPr>
                <w:rFonts w:ascii="Times New Roman" w:hAnsi="Times New Roman" w:cs="Times New Roman"/>
                <w:b/>
                <w:caps/>
                <w:spacing w:val="4"/>
                <w:sz w:val="20"/>
              </w:rPr>
            </w:pPr>
            <w:r w:rsidRPr="00094311">
              <w:rPr>
                <w:rFonts w:ascii="Times New Roman" w:hAnsi="Times New Roman" w:cs="Times New Roman"/>
                <w:b/>
                <w:caps/>
                <w:spacing w:val="4"/>
                <w:sz w:val="20"/>
              </w:rPr>
              <w:t>Activity Code</w:t>
            </w:r>
          </w:p>
        </w:tc>
        <w:tc>
          <w:tcPr>
            <w:tcW w:w="1307" w:type="dxa"/>
            <w:gridSpan w:val="2"/>
            <w:tcBorders>
              <w:top w:val="single" w:sz="12" w:space="0" w:color="auto"/>
              <w:bottom w:val="single" w:sz="4" w:space="0" w:color="auto"/>
            </w:tcBorders>
          </w:tcPr>
          <w:p w:rsidR="00CB1049" w:rsidRPr="00A333EF" w:rsidRDefault="00CB1049" w:rsidP="00881CB9">
            <w:pPr>
              <w:spacing w:line="264" w:lineRule="auto"/>
              <w:jc w:val="center"/>
              <w:rPr>
                <w:rFonts w:ascii="Times New Roman" w:hAnsi="Times New Roman" w:cs="Times New Roman"/>
                <w:b/>
                <w:caps/>
                <w:spacing w:val="4"/>
                <w:sz w:val="20"/>
              </w:rPr>
            </w:pPr>
            <w:r>
              <w:rPr>
                <w:rFonts w:ascii="Times New Roman" w:hAnsi="Times New Roman" w:cs="Times New Roman"/>
                <w:b/>
                <w:caps/>
                <w:spacing w:val="4"/>
                <w:sz w:val="20"/>
              </w:rPr>
              <w:t>FY15 Eligible Amount</w:t>
            </w:r>
          </w:p>
        </w:tc>
        <w:tc>
          <w:tcPr>
            <w:tcW w:w="1664" w:type="dxa"/>
            <w:tcBorders>
              <w:top w:val="single" w:sz="12" w:space="0" w:color="auto"/>
              <w:bottom w:val="single" w:sz="4" w:space="0" w:color="auto"/>
            </w:tcBorders>
          </w:tcPr>
          <w:p w:rsidR="00CB1049" w:rsidRPr="00A333EF" w:rsidRDefault="00CB1049" w:rsidP="00881CB9">
            <w:pPr>
              <w:spacing w:line="264" w:lineRule="auto"/>
              <w:jc w:val="center"/>
              <w:rPr>
                <w:rFonts w:ascii="Times New Roman" w:hAnsi="Times New Roman" w:cs="Times New Roman"/>
                <w:b/>
                <w:caps/>
                <w:spacing w:val="4"/>
                <w:sz w:val="20"/>
              </w:rPr>
            </w:pPr>
            <w:r>
              <w:rPr>
                <w:rFonts w:ascii="Times New Roman" w:hAnsi="Times New Roman" w:cs="Times New Roman"/>
                <w:b/>
                <w:caps/>
                <w:spacing w:val="4"/>
                <w:sz w:val="20"/>
              </w:rPr>
              <w:t>Percent  Multiplier*</w:t>
            </w:r>
          </w:p>
        </w:tc>
        <w:tc>
          <w:tcPr>
            <w:tcW w:w="1923" w:type="dxa"/>
            <w:tcBorders>
              <w:top w:val="single" w:sz="12" w:space="0" w:color="auto"/>
              <w:bottom w:val="single" w:sz="4" w:space="0" w:color="auto"/>
            </w:tcBorders>
            <w:vAlign w:val="center"/>
          </w:tcPr>
          <w:p w:rsidR="00CB1049" w:rsidRDefault="00CB1049" w:rsidP="00881CB9">
            <w:pPr>
              <w:spacing w:line="264" w:lineRule="auto"/>
              <w:jc w:val="center"/>
              <w:rPr>
                <w:rFonts w:ascii="Times New Roman" w:hAnsi="Times New Roman" w:cs="Times New Roman"/>
                <w:b/>
                <w:caps/>
                <w:spacing w:val="4"/>
                <w:sz w:val="20"/>
              </w:rPr>
            </w:pPr>
            <w:r w:rsidRPr="00094311">
              <w:rPr>
                <w:rFonts w:ascii="Times New Roman" w:hAnsi="Times New Roman" w:cs="Times New Roman"/>
                <w:b/>
                <w:caps/>
                <w:spacing w:val="4"/>
                <w:sz w:val="20"/>
              </w:rPr>
              <w:t>3.75%</w:t>
            </w:r>
            <w:r>
              <w:rPr>
                <w:rFonts w:ascii="Times New Roman" w:hAnsi="Times New Roman" w:cs="Times New Roman"/>
                <w:b/>
                <w:caps/>
                <w:spacing w:val="4"/>
                <w:sz w:val="20"/>
              </w:rPr>
              <w:t xml:space="preserve"> Caluculation</w:t>
            </w:r>
          </w:p>
          <w:p w:rsidR="00CB1049" w:rsidRPr="00EA54FA" w:rsidRDefault="00CB1049" w:rsidP="00881CB9">
            <w:pPr>
              <w:spacing w:line="264" w:lineRule="auto"/>
              <w:jc w:val="center"/>
              <w:rPr>
                <w:rFonts w:ascii="Times New Roman" w:hAnsi="Times New Roman" w:cs="Times New Roman"/>
                <w:b/>
                <w:caps/>
                <w:spacing w:val="4"/>
                <w:sz w:val="16"/>
                <w:szCs w:val="16"/>
              </w:rPr>
            </w:pPr>
            <w:r>
              <w:rPr>
                <w:rFonts w:ascii="Times New Roman" w:hAnsi="Times New Roman" w:cs="Times New Roman"/>
                <w:b/>
                <w:caps/>
                <w:spacing w:val="4"/>
                <w:sz w:val="20"/>
              </w:rPr>
              <w:t>(</w:t>
            </w:r>
            <w:r w:rsidRPr="00EA54FA">
              <w:rPr>
                <w:rFonts w:ascii="Times New Roman" w:hAnsi="Times New Roman" w:cs="Times New Roman"/>
                <w:b/>
                <w:caps/>
                <w:spacing w:val="4"/>
                <w:sz w:val="14"/>
                <w:szCs w:val="14"/>
              </w:rPr>
              <w:t>ELIGIBLE AMOUNT TIMES 3.75%)</w:t>
            </w:r>
          </w:p>
        </w:tc>
        <w:tc>
          <w:tcPr>
            <w:tcW w:w="1996" w:type="dxa"/>
            <w:tcBorders>
              <w:top w:val="single" w:sz="12" w:space="0" w:color="auto"/>
              <w:bottom w:val="single" w:sz="4" w:space="0" w:color="auto"/>
            </w:tcBorders>
            <w:vAlign w:val="center"/>
          </w:tcPr>
          <w:p w:rsidR="00CB1049" w:rsidRDefault="00CB1049" w:rsidP="00881CB9">
            <w:pPr>
              <w:spacing w:line="264" w:lineRule="auto"/>
              <w:jc w:val="center"/>
              <w:rPr>
                <w:rFonts w:ascii="Times New Roman" w:hAnsi="Times New Roman" w:cs="Times New Roman"/>
                <w:b/>
                <w:caps/>
                <w:spacing w:val="4"/>
                <w:sz w:val="20"/>
              </w:rPr>
            </w:pPr>
            <w:r>
              <w:rPr>
                <w:rFonts w:ascii="Times New Roman" w:hAnsi="Times New Roman" w:cs="Times New Roman"/>
                <w:b/>
                <w:caps/>
                <w:spacing w:val="4"/>
                <w:sz w:val="20"/>
              </w:rPr>
              <w:t xml:space="preserve">Final </w:t>
            </w:r>
            <w:r w:rsidRPr="00A333EF">
              <w:rPr>
                <w:rFonts w:ascii="Times New Roman" w:hAnsi="Times New Roman" w:cs="Times New Roman"/>
                <w:b/>
                <w:caps/>
                <w:spacing w:val="4"/>
                <w:sz w:val="20"/>
              </w:rPr>
              <w:t>AMOUNT</w:t>
            </w:r>
          </w:p>
          <w:p w:rsidR="00CB1049" w:rsidRPr="0019216D" w:rsidRDefault="00CB1049" w:rsidP="00881CB9">
            <w:pPr>
              <w:spacing w:line="264" w:lineRule="auto"/>
              <w:jc w:val="center"/>
              <w:rPr>
                <w:rFonts w:ascii="Times New Roman" w:hAnsi="Times New Roman" w:cs="Times New Roman"/>
                <w:b/>
                <w:caps/>
                <w:spacing w:val="4"/>
                <w:sz w:val="14"/>
                <w:szCs w:val="14"/>
              </w:rPr>
            </w:pPr>
            <w:r w:rsidRPr="0019216D">
              <w:rPr>
                <w:rFonts w:ascii="Times New Roman" w:hAnsi="Times New Roman" w:cs="Times New Roman"/>
                <w:b/>
                <w:caps/>
                <w:spacing w:val="4"/>
                <w:sz w:val="14"/>
                <w:szCs w:val="14"/>
              </w:rPr>
              <w:t>(3.75% CALCULATION TIMES % MULTIPLIER)</w:t>
            </w: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9427B7" w:rsidP="00881CB9">
            <w:pPr>
              <w:rPr>
                <w:rFonts w:ascii="Times New Roman" w:hAnsi="Times New Roman" w:cs="Times New Roman"/>
                <w:sz w:val="20"/>
              </w:rPr>
            </w:pPr>
            <w:r>
              <w:rPr>
                <w:rFonts w:ascii="Times New Roman" w:hAnsi="Times New Roman" w:cs="Times New Roman"/>
                <w:sz w:val="20"/>
              </w:rPr>
              <w:t>XXXX</w:t>
            </w: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9427B7" w:rsidP="00881CB9">
            <w:pPr>
              <w:rPr>
                <w:rFonts w:ascii="Times New Roman" w:hAnsi="Times New Roman" w:cs="Times New Roman"/>
                <w:sz w:val="20"/>
              </w:rPr>
            </w:pPr>
            <w:r>
              <w:rPr>
                <w:rFonts w:ascii="Times New Roman" w:hAnsi="Times New Roman" w:cs="Times New Roman"/>
                <w:sz w:val="20"/>
              </w:rPr>
              <w:t>XXX</w:t>
            </w: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9427B7" w:rsidP="00881CB9">
            <w:pPr>
              <w:spacing w:line="264" w:lineRule="auto"/>
              <w:rPr>
                <w:rFonts w:ascii="Times New Roman" w:hAnsi="Times New Roman" w:cs="Times New Roman"/>
                <w:spacing w:val="4"/>
                <w:sz w:val="20"/>
              </w:rPr>
            </w:pPr>
            <w:r>
              <w:rPr>
                <w:rFonts w:ascii="Times New Roman" w:hAnsi="Times New Roman" w:cs="Times New Roman"/>
                <w:spacing w:val="4"/>
                <w:sz w:val="20"/>
              </w:rPr>
              <w:t>1234</w:t>
            </w: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center"/>
              <w:rPr>
                <w:rFonts w:ascii="Times New Roman" w:hAnsi="Times New Roman" w:cs="Times New Roman"/>
                <w:spacing w:val="4"/>
                <w:sz w:val="20"/>
              </w:rPr>
            </w:pPr>
            <w:r w:rsidRPr="00CA03EC">
              <w:rPr>
                <w:rFonts w:ascii="Times New Roman" w:hAnsi="Times New Roman" w:cs="Times New Roman"/>
                <w:sz w:val="20"/>
              </w:rPr>
              <w:t>$6,023</w:t>
            </w: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center"/>
              <w:rPr>
                <w:rFonts w:ascii="Times New Roman" w:hAnsi="Times New Roman" w:cs="Times New Roman"/>
                <w:spacing w:val="4"/>
                <w:sz w:val="20"/>
              </w:rPr>
            </w:pPr>
            <w:r>
              <w:rPr>
                <w:rFonts w:ascii="Times New Roman" w:hAnsi="Times New Roman" w:cs="Times New Roman"/>
                <w:spacing w:val="4"/>
                <w:sz w:val="20"/>
              </w:rPr>
              <w:t>0.75</w:t>
            </w: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center"/>
              <w:rPr>
                <w:rFonts w:ascii="Times New Roman" w:hAnsi="Times New Roman" w:cs="Times New Roman"/>
                <w:spacing w:val="4"/>
                <w:sz w:val="20"/>
              </w:rPr>
            </w:pPr>
            <w:r w:rsidRPr="00CA03EC">
              <w:rPr>
                <w:rFonts w:ascii="Times New Roman" w:hAnsi="Times New Roman" w:cs="Times New Roman"/>
                <w:sz w:val="20"/>
              </w:rPr>
              <w:t>$226</w:t>
            </w: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center"/>
              <w:rPr>
                <w:rFonts w:ascii="Times New Roman" w:hAnsi="Times New Roman" w:cs="Times New Roman"/>
                <w:spacing w:val="4"/>
                <w:sz w:val="20"/>
              </w:rPr>
            </w:pPr>
            <w:r w:rsidRPr="00CA03EC">
              <w:rPr>
                <w:rFonts w:ascii="Times New Roman" w:hAnsi="Times New Roman" w:cs="Times New Roman"/>
                <w:sz w:val="20"/>
              </w:rPr>
              <w:t>$169</w:t>
            </w: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single" w:sz="4" w:space="0" w:color="auto"/>
              <w:bottom w:val="single" w:sz="4" w:space="0" w:color="auto"/>
              <w:right w:val="single" w:sz="4" w:space="0" w:color="auto"/>
            </w:tcBorders>
            <w:vAlign w:val="center"/>
          </w:tcPr>
          <w:p w:rsidR="00CB1049" w:rsidRPr="00A333EF" w:rsidRDefault="00CB1049" w:rsidP="00881CB9">
            <w:pPr>
              <w:rPr>
                <w:rFonts w:ascii="Times New Roman" w:hAnsi="Times New Roman" w:cs="Times New Roman"/>
                <w:sz w:val="20"/>
              </w:rPr>
            </w:pPr>
          </w:p>
        </w:tc>
        <w:tc>
          <w:tcPr>
            <w:tcW w:w="877"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sz w:val="20"/>
              </w:rPr>
            </w:pPr>
          </w:p>
        </w:tc>
        <w:tc>
          <w:tcPr>
            <w:tcW w:w="1263"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307" w:type="dxa"/>
            <w:gridSpan w:val="2"/>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664" w:type="dxa"/>
            <w:tcBorders>
              <w:top w:val="single" w:sz="4" w:space="0" w:color="auto"/>
              <w:left w:val="single" w:sz="4" w:space="0" w:color="auto"/>
              <w:bottom w:val="single" w:sz="4" w:space="0" w:color="auto"/>
              <w:right w:val="single" w:sz="4" w:space="0" w:color="auto"/>
            </w:tcBorders>
          </w:tcPr>
          <w:p w:rsidR="00CB1049" w:rsidRPr="00A333EF" w:rsidRDefault="00CB1049" w:rsidP="00881CB9">
            <w:pPr>
              <w:spacing w:line="264" w:lineRule="auto"/>
              <w:jc w:val="right"/>
              <w:rPr>
                <w:rFonts w:ascii="Times New Roman" w:hAnsi="Times New Roman" w:cs="Times New Roman"/>
                <w:spacing w:val="4"/>
                <w:sz w:val="20"/>
              </w:rPr>
            </w:pPr>
          </w:p>
        </w:tc>
        <w:tc>
          <w:tcPr>
            <w:tcW w:w="1923"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p>
        </w:tc>
      </w:tr>
      <w:tr w:rsidR="00CB1049" w:rsidRPr="00094311" w:rsidTr="00881CB9">
        <w:trPr>
          <w:cantSplit/>
          <w:trHeight w:val="288"/>
          <w:jc w:val="center"/>
        </w:trPr>
        <w:tc>
          <w:tcPr>
            <w:tcW w:w="1994" w:type="dxa"/>
            <w:tcBorders>
              <w:top w:val="single" w:sz="4" w:space="0" w:color="auto"/>
              <w:left w:val="nil"/>
              <w:bottom w:val="nil"/>
              <w:right w:val="nil"/>
            </w:tcBorders>
          </w:tcPr>
          <w:p w:rsidR="00CB1049" w:rsidRPr="00A333EF" w:rsidRDefault="00CB1049" w:rsidP="00881CB9">
            <w:pPr>
              <w:rPr>
                <w:rFonts w:ascii="Times New Roman" w:hAnsi="Times New Roman" w:cs="Times New Roman"/>
                <w:sz w:val="24"/>
                <w:szCs w:val="24"/>
              </w:rPr>
            </w:pPr>
          </w:p>
        </w:tc>
        <w:tc>
          <w:tcPr>
            <w:tcW w:w="877" w:type="dxa"/>
            <w:tcBorders>
              <w:top w:val="single" w:sz="4" w:space="0" w:color="auto"/>
              <w:left w:val="nil"/>
              <w:bottom w:val="nil"/>
              <w:right w:val="nil"/>
            </w:tcBorders>
          </w:tcPr>
          <w:p w:rsidR="00CB1049" w:rsidRPr="00A333EF" w:rsidRDefault="00CB1049" w:rsidP="00881CB9">
            <w:pPr>
              <w:jc w:val="right"/>
              <w:rPr>
                <w:rFonts w:ascii="Times New Roman" w:hAnsi="Times New Roman" w:cs="Times New Roman"/>
                <w:caps/>
                <w:sz w:val="16"/>
                <w:szCs w:val="16"/>
              </w:rPr>
            </w:pPr>
          </w:p>
        </w:tc>
        <w:tc>
          <w:tcPr>
            <w:tcW w:w="1445" w:type="dxa"/>
            <w:gridSpan w:val="2"/>
            <w:tcBorders>
              <w:top w:val="single" w:sz="4" w:space="0" w:color="auto"/>
              <w:left w:val="nil"/>
              <w:bottom w:val="nil"/>
              <w:right w:val="nil"/>
            </w:tcBorders>
          </w:tcPr>
          <w:p w:rsidR="00CB1049" w:rsidRPr="00A333EF" w:rsidRDefault="00CB1049" w:rsidP="00881CB9">
            <w:pPr>
              <w:jc w:val="right"/>
              <w:rPr>
                <w:rFonts w:ascii="Times New Roman" w:hAnsi="Times New Roman" w:cs="Times New Roman"/>
                <w:caps/>
                <w:sz w:val="16"/>
                <w:szCs w:val="16"/>
              </w:rPr>
            </w:pPr>
          </w:p>
        </w:tc>
        <w:tc>
          <w:tcPr>
            <w:tcW w:w="1125" w:type="dxa"/>
            <w:tcBorders>
              <w:top w:val="single" w:sz="4" w:space="0" w:color="auto"/>
              <w:left w:val="nil"/>
              <w:bottom w:val="nil"/>
              <w:right w:val="nil"/>
            </w:tcBorders>
          </w:tcPr>
          <w:p w:rsidR="00CB1049" w:rsidRPr="00A333EF" w:rsidRDefault="00CB1049" w:rsidP="00881CB9">
            <w:pPr>
              <w:jc w:val="right"/>
              <w:rPr>
                <w:rFonts w:ascii="Times New Roman" w:hAnsi="Times New Roman" w:cs="Times New Roman"/>
                <w:caps/>
                <w:sz w:val="16"/>
                <w:szCs w:val="16"/>
              </w:rPr>
            </w:pPr>
          </w:p>
        </w:tc>
        <w:tc>
          <w:tcPr>
            <w:tcW w:w="3587" w:type="dxa"/>
            <w:gridSpan w:val="2"/>
            <w:tcBorders>
              <w:top w:val="single" w:sz="4" w:space="0" w:color="auto"/>
              <w:left w:val="nil"/>
              <w:bottom w:val="nil"/>
              <w:right w:val="single" w:sz="4" w:space="0" w:color="auto"/>
            </w:tcBorders>
            <w:tcMar>
              <w:left w:w="216" w:type="dxa"/>
              <w:right w:w="216" w:type="dxa"/>
            </w:tcMar>
            <w:vAlign w:val="center"/>
          </w:tcPr>
          <w:p w:rsidR="00CB1049" w:rsidRPr="00A333EF" w:rsidRDefault="00CB1049" w:rsidP="00881CB9">
            <w:pPr>
              <w:jc w:val="right"/>
              <w:rPr>
                <w:rFonts w:ascii="Times New Roman" w:hAnsi="Times New Roman" w:cs="Times New Roman"/>
                <w:caps/>
                <w:sz w:val="20"/>
              </w:rPr>
            </w:pPr>
            <w:r w:rsidRPr="00A333EF">
              <w:rPr>
                <w:rFonts w:ascii="Times New Roman" w:hAnsi="Times New Roman" w:cs="Times New Roman"/>
                <w:caps/>
                <w:sz w:val="20"/>
              </w:rPr>
              <w:t>TOTAL</w:t>
            </w:r>
            <w:r>
              <w:rPr>
                <w:rFonts w:ascii="Times New Roman" w:hAnsi="Times New Roman" w:cs="Times New Roman"/>
                <w:caps/>
                <w:sz w:val="20"/>
              </w:rPr>
              <w:t>**</w:t>
            </w:r>
          </w:p>
        </w:tc>
        <w:tc>
          <w:tcPr>
            <w:tcW w:w="1996" w:type="dxa"/>
            <w:tcBorders>
              <w:top w:val="single" w:sz="4" w:space="0" w:color="auto"/>
              <w:left w:val="single" w:sz="4" w:space="0" w:color="auto"/>
              <w:bottom w:val="single" w:sz="4" w:space="0" w:color="auto"/>
              <w:right w:val="single" w:sz="4" w:space="0" w:color="auto"/>
            </w:tcBorders>
            <w:tcMar>
              <w:left w:w="216" w:type="dxa"/>
              <w:right w:w="216" w:type="dxa"/>
            </w:tcMar>
            <w:vAlign w:val="center"/>
          </w:tcPr>
          <w:p w:rsidR="00CB1049" w:rsidRPr="00A333EF" w:rsidRDefault="00CB1049" w:rsidP="00881CB9">
            <w:pPr>
              <w:spacing w:line="264" w:lineRule="auto"/>
              <w:jc w:val="right"/>
              <w:rPr>
                <w:rFonts w:ascii="Times New Roman" w:hAnsi="Times New Roman" w:cs="Times New Roman"/>
                <w:spacing w:val="4"/>
                <w:sz w:val="20"/>
              </w:rPr>
            </w:pPr>
            <w:r>
              <w:rPr>
                <w:rFonts w:ascii="Times New Roman" w:hAnsi="Times New Roman" w:cs="Times New Roman"/>
                <w:spacing w:val="4"/>
                <w:sz w:val="20"/>
              </w:rPr>
              <w:t>$169.00</w:t>
            </w:r>
          </w:p>
        </w:tc>
      </w:tr>
    </w:tbl>
    <w:p w:rsidR="00CB1049" w:rsidRDefault="00CB1049"/>
    <w:p w:rsidR="00CB1049" w:rsidRPr="00CB1049" w:rsidRDefault="00CB1049" w:rsidP="00CB1049">
      <w:pPr>
        <w:rPr>
          <w:rFonts w:ascii="Times New Roman" w:hAnsi="Times New Roman" w:cs="Times New Roman"/>
          <w:sz w:val="20"/>
        </w:rPr>
      </w:pPr>
      <w:r w:rsidRPr="00CB1049">
        <w:rPr>
          <w:rFonts w:ascii="Times New Roman" w:hAnsi="Times New Roman" w:cs="Times New Roman"/>
          <w:sz w:val="20"/>
        </w:rPr>
        <w:t>*Settlement payments are allocated for each quarter that a contracted service is not yet being paid under regulated rates. The percent multiplier is a conservative estimate of the portion of FY16 for which settlement payments will be due. For example, if we estimate that rates for a service will be paid by April 1, 2016, a provider of that service is eligible for three quarters of settlement payment, and the multiplier is 0.75. If rates will be paid as of January 1, 2016, the multiplier is 0.50. Services with a multiplier of 1 will not be paid regulated rates in FY16.</w:t>
      </w:r>
    </w:p>
    <w:p w:rsidR="00CB1049" w:rsidRDefault="00CB1049" w:rsidP="00CB1049"/>
    <w:p w:rsidR="00CB1049" w:rsidRDefault="00CB1049" w:rsidP="00CB1049">
      <w:r>
        <w:t>**</w:t>
      </w:r>
      <w:r w:rsidRPr="00CB1049">
        <w:rPr>
          <w:rFonts w:ascii="Times New Roman" w:hAnsi="Times New Roman" w:cs="Times New Roman"/>
          <w:sz w:val="20"/>
        </w:rPr>
        <w:t>Total funds will be distributed in four equal payments, August 2015, October 2015, January 2016 and April 2016, unless the total is less than $</w:t>
      </w:r>
      <w:r w:rsidR="009427B7">
        <w:rPr>
          <w:rFonts w:ascii="Times New Roman" w:hAnsi="Times New Roman" w:cs="Times New Roman"/>
          <w:sz w:val="20"/>
        </w:rPr>
        <w:t>1,000,   If less than $1,000</w:t>
      </w:r>
      <w:r w:rsidRPr="00CB1049">
        <w:rPr>
          <w:rFonts w:ascii="Times New Roman" w:hAnsi="Times New Roman" w:cs="Times New Roman"/>
          <w:sz w:val="20"/>
        </w:rPr>
        <w:t>, one payment will be made in August. Please note</w:t>
      </w:r>
      <w:proofErr w:type="gramStart"/>
      <w:r w:rsidRPr="00CB1049">
        <w:rPr>
          <w:rFonts w:ascii="Times New Roman" w:hAnsi="Times New Roman" w:cs="Times New Roman"/>
          <w:sz w:val="20"/>
        </w:rPr>
        <w:t>,</w:t>
      </w:r>
      <w:proofErr w:type="gramEnd"/>
      <w:r w:rsidRPr="00CB1049">
        <w:rPr>
          <w:rFonts w:ascii="Times New Roman" w:hAnsi="Times New Roman" w:cs="Times New Roman"/>
          <w:sz w:val="20"/>
        </w:rPr>
        <w:t xml:space="preserve"> funds will be distributed in four payments even for services that are eligible for fewer than four quarters of settlement payments.</w:t>
      </w:r>
    </w:p>
    <w:sectPr w:rsidR="00CB1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6F2D"/>
    <w:multiLevelType w:val="hybridMultilevel"/>
    <w:tmpl w:val="E40E93FE"/>
    <w:lvl w:ilvl="0" w:tplc="C7EAF3D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FD09D9"/>
    <w:multiLevelType w:val="hybridMultilevel"/>
    <w:tmpl w:val="3DDEB846"/>
    <w:lvl w:ilvl="0" w:tplc="3DCE779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49"/>
    <w:rsid w:val="000B7FE7"/>
    <w:rsid w:val="0061344C"/>
    <w:rsid w:val="009427B7"/>
    <w:rsid w:val="00B96710"/>
    <w:rsid w:val="00C12810"/>
    <w:rsid w:val="00CB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49"/>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CB1049"/>
    <w:pPr>
      <w:keepNext/>
      <w:jc w:val="center"/>
      <w:outlineLvl w:val="0"/>
    </w:pPr>
    <w:rPr>
      <w:rFonts w:ascii="Bookman" w:hAnsi="Bookman"/>
      <w:i/>
      <w:iCs/>
      <w:sz w:val="28"/>
    </w:rPr>
  </w:style>
  <w:style w:type="paragraph" w:styleId="Heading2">
    <w:name w:val="heading 2"/>
    <w:basedOn w:val="Normal"/>
    <w:next w:val="Normal"/>
    <w:link w:val="Heading2Char"/>
    <w:qFormat/>
    <w:rsid w:val="00CB1049"/>
    <w:pPr>
      <w:keepNext/>
      <w:jc w:val="center"/>
      <w:outlineLvl w:val="1"/>
    </w:pPr>
    <w:rPr>
      <w:rFonts w:ascii="Bookman" w:hAnsi="Bookman"/>
      <w:i/>
      <w:iCs/>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049"/>
    <w:rPr>
      <w:rFonts w:ascii="Bookman" w:eastAsia="Times New Roman" w:hAnsi="Bookman" w:cs="Arial"/>
      <w:i/>
      <w:iCs/>
      <w:sz w:val="28"/>
      <w:szCs w:val="20"/>
    </w:rPr>
  </w:style>
  <w:style w:type="character" w:customStyle="1" w:styleId="Heading2Char">
    <w:name w:val="Heading 2 Char"/>
    <w:basedOn w:val="DefaultParagraphFont"/>
    <w:link w:val="Heading2"/>
    <w:rsid w:val="00CB1049"/>
    <w:rPr>
      <w:rFonts w:ascii="Bookman" w:eastAsia="Times New Roman" w:hAnsi="Bookman" w:cs="Arial"/>
      <w:i/>
      <w:iCs/>
      <w:color w:val="333399"/>
      <w:sz w:val="28"/>
      <w:szCs w:val="20"/>
    </w:rPr>
  </w:style>
  <w:style w:type="paragraph" w:styleId="ListParagraph">
    <w:name w:val="List Paragraph"/>
    <w:basedOn w:val="Normal"/>
    <w:uiPriority w:val="34"/>
    <w:qFormat/>
    <w:rsid w:val="00CB10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49"/>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CB1049"/>
    <w:pPr>
      <w:keepNext/>
      <w:jc w:val="center"/>
      <w:outlineLvl w:val="0"/>
    </w:pPr>
    <w:rPr>
      <w:rFonts w:ascii="Bookman" w:hAnsi="Bookman"/>
      <w:i/>
      <w:iCs/>
      <w:sz w:val="28"/>
    </w:rPr>
  </w:style>
  <w:style w:type="paragraph" w:styleId="Heading2">
    <w:name w:val="heading 2"/>
    <w:basedOn w:val="Normal"/>
    <w:next w:val="Normal"/>
    <w:link w:val="Heading2Char"/>
    <w:qFormat/>
    <w:rsid w:val="00CB1049"/>
    <w:pPr>
      <w:keepNext/>
      <w:jc w:val="center"/>
      <w:outlineLvl w:val="1"/>
    </w:pPr>
    <w:rPr>
      <w:rFonts w:ascii="Bookman" w:hAnsi="Bookman"/>
      <w:i/>
      <w:iCs/>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049"/>
    <w:rPr>
      <w:rFonts w:ascii="Bookman" w:eastAsia="Times New Roman" w:hAnsi="Bookman" w:cs="Arial"/>
      <w:i/>
      <w:iCs/>
      <w:sz w:val="28"/>
      <w:szCs w:val="20"/>
    </w:rPr>
  </w:style>
  <w:style w:type="character" w:customStyle="1" w:styleId="Heading2Char">
    <w:name w:val="Heading 2 Char"/>
    <w:basedOn w:val="DefaultParagraphFont"/>
    <w:link w:val="Heading2"/>
    <w:rsid w:val="00CB1049"/>
    <w:rPr>
      <w:rFonts w:ascii="Bookman" w:eastAsia="Times New Roman" w:hAnsi="Bookman" w:cs="Arial"/>
      <w:i/>
      <w:iCs/>
      <w:color w:val="333399"/>
      <w:sz w:val="28"/>
      <w:szCs w:val="20"/>
    </w:rPr>
  </w:style>
  <w:style w:type="paragraph" w:styleId="ListParagraph">
    <w:name w:val="List Paragraph"/>
    <w:basedOn w:val="Normal"/>
    <w:uiPriority w:val="34"/>
    <w:qFormat/>
    <w:rsid w:val="00CB1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O'Callaghan, Jennifer (EHS)</dc:creator>
  <cp:lastModifiedBy>JoAnne Starks</cp:lastModifiedBy>
  <cp:revision>2</cp:revision>
  <dcterms:created xsi:type="dcterms:W3CDTF">2015-08-14T20:10:00Z</dcterms:created>
  <dcterms:modified xsi:type="dcterms:W3CDTF">2015-08-14T20:10:00Z</dcterms:modified>
</cp:coreProperties>
</file>